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92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pacing w:before="0" w:after="0" w:line="240"/>
        <w:ind w:right="0" w:left="92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 муниципальной программе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Обеспечение жизнедеятельности </w:t>
      </w:r>
    </w:p>
    <w:p>
      <w:pPr>
        <w:spacing w:before="0" w:after="0" w:line="240"/>
        <w:ind w:right="-947" w:left="92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муниципального образования </w:t>
      </w:r>
    </w:p>
    <w:p>
      <w:pPr>
        <w:spacing w:before="0" w:after="0" w:line="240"/>
        <w:ind w:right="-94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Детловский сельсовет"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на 2014-2017г</w:t>
      </w:r>
    </w:p>
    <w:p>
      <w:pPr>
        <w:spacing w:before="0" w:after="0" w:line="240"/>
        <w:ind w:right="0" w:left="928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928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Подпрограммы 2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Ремонт и содержание улично-дорожной сети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реализуемой в рамках муниципальной программы 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Обеспечение жизнедеятельности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Детловский 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799"/>
        <w:gridCol w:w="2603"/>
        <w:gridCol w:w="6663"/>
      </w:tblGrid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абзаца подпрограммы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подпрограммы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 и содержание улично-дорожной сети</w:t>
            </w: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муниципальной программы, в рамках которой реализуется подпрограмма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Обеспечение жизнедеятельности муниципального образования Детловский сельсовет (далее – программа)</w:t>
            </w: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Муниципальный заказчик - координатор подпрограммы 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Администрация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Детловского 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сельсовета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Исполнители мероприятий подпрограммы, главные распорядители бюджетных средств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Цель подпрограммы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Администрация Детловского сельсовета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Повышение комфортности условий жизнедеятельности в муниципальном образовании Детловский сельсовет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Задачи подпрограммы 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1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образования.</w:t>
            </w: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Целевые индикаторы 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(5 % ежегодно);.</w:t>
            </w: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Сроки реализации подпрограммы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2014-201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7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годы</w:t>
            </w: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 средств на реализацию подпрограммы: 223,126-тыс. руб., в т.ч. по годам: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2014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–82,226тыс. руб.,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2015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 46,9тыс. руб.,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51,1 тыс.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42,9тыс. руб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средств бюджета МО : 223,126 тыс. руб., в т.ч.: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–82,226тыс. руб.,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 46,9тыс. руб.,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51,1 тыс.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42,9тыс. руб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средств краевого бюджета: 0тыс. руб., в т.ч.: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2014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0 тыс. руб.,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2015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0 тыс. руб.,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 – 0 тыс. руб.</w:t>
            </w:r>
          </w:p>
        </w:tc>
      </w:tr>
      <w:tr>
        <w:trPr>
          <w:trHeight w:val="1" w:hRule="atLeast"/>
          <w:jc w:val="left"/>
        </w:trPr>
        <w:tc>
          <w:tcPr>
            <w:tcW w:w="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26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Система организации контроля за исполнением подпрограммы</w:t>
            </w:r>
          </w:p>
        </w:tc>
        <w:tc>
          <w:tcPr>
            <w:tcW w:w="666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Администрация Детловского сельсовета  представляет ежеквартальный  отчет об исполнении подпрограммы не позднее 10 числа второго месяца, следующего за отчетным, годовой отчет представляется до 1 марта года, следующего за отчетным.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1. Постановка проблемы и обоснование необходимости разработки подпрограммы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Протяженность улично-дорожной сети составляет 6,3 км. Удельный вес протяженности с гравийно-песчаным покрытием улиц, переулков в муниципальном образовании Детловский сельсовет в 2012 году составил</w:t>
      </w:r>
      <w:r>
        <w:rPr>
          <w:rFonts w:ascii="Times New Roman CYR" w:hAnsi="Times New Roman CYR" w:cs="Times New Roman CYR" w:eastAsia="Times New Roman CYR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процентов.</w:t>
      </w: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строительство и ремонт дорог местного значения.   </w:t>
      </w:r>
    </w:p>
    <w:p>
      <w:pPr>
        <w:spacing w:before="0" w:after="0" w:line="240"/>
        <w:ind w:right="0" w:left="0" w:firstLine="70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Финансирование дорожных работ из местного бюджета практически </w:t>
        <w:br/>
        <w:t xml:space="preserve">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2. Основные цели и задачи, сроки и этапы реализации, целевые индикаторы и показатели подпрограммы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 целями  и задачами подпрограммы являются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улучшение уровня состояния автомобильных дорог местного значения, включая улично-дорожную сеть населенных пунктов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Детловского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сельсовета;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проведение ремонта дорог общего значения.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реализации подпрограммы 2014-2017 года.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3. Источникам финансирования подпрограммы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Ресурсное обеспечение подпрограммы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Финансирование мероприятий, предусмотренных данной подпрограммой  по благоустройству населенных пунктов, производится из средств местного бюджета с привлечением средств краевого бюджета.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4. Механизм реализации, организация управления и контроль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ходом реализации подпрограммы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реализацией подпрограммы осуществляет Администрация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Детловского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Детловского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Детловского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 выполняются следующие основные задачи: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экономический анализ эффективности подпрограммы и отдельных мероприятий;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предложений по составлению плана инвестиционных и текущих расходов на очередной период;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подпрограммы - Администрация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Детловского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ежеквартально собирает информацию об исполнении каждого мероприятия подрограммы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обобщение и подготовку информации о ходе реализации мероприятий подпрограммы;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ходом реализации подпрограммы осуществляется в соответствии с решение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Детловского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Совета депутатов от 31.10.2013 года № 51-110р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бюджетном процессе в муниципальном образовании Детловский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Детловского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 организует ведение и представление ежеквартальной отчетности (за первый, второй и третий кварталы) не позднее 10 числа второго месяца, следующего за отчетным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Годовой отчет о ходе реализации подпрограммы формируется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Детловского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 1 марта года, следующего за отчетным.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необходимости представляется дополнительная и (или) уточненная информация о ходе реализации подпрограммы</w:t>
      </w: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подпрограмме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Ремонт и содержание улично-дорожной 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Перечень целевых индикаторов подпрограммы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Ремонт и содержание улично-дорожной сети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муниципальной программы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Обеспечение жизнедеятельности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Детловский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0" w:type="dxa"/>
      </w:tblPr>
      <w:tblGrid>
        <w:gridCol w:w="551"/>
        <w:gridCol w:w="2936"/>
        <w:gridCol w:w="694"/>
        <w:gridCol w:w="709"/>
        <w:gridCol w:w="709"/>
        <w:gridCol w:w="850"/>
        <w:gridCol w:w="851"/>
        <w:gridCol w:w="850"/>
        <w:gridCol w:w="851"/>
        <w:gridCol w:w="708"/>
      </w:tblGrid>
      <w:tr>
        <w:trPr>
          <w:trHeight w:val="240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  </w:t>
              <w:br/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Цели,    </w:t>
              <w:br/>
              <w:t xml:space="preserve">задачи,   </w:t>
              <w:br/>
              <w:t xml:space="preserve">показатели </w:t>
              <w:br/>
            </w:r>
          </w:p>
        </w:tc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Ед.</w:t>
              <w:br/>
              <w:t xml:space="preserve">изм.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Вес показателя </w:t>
              <w:br/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Источник </w:t>
              <w:br/>
              <w:t xml:space="preserve">информации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</w:t>
            </w:r>
          </w:p>
        </w:tc>
      </w:tr>
      <w:tr>
        <w:trPr>
          <w:trHeight w:val="240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1.2  </w:t>
            </w:r>
          </w:p>
        </w:tc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01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Задача 2 -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</w:t>
            </w:r>
          </w:p>
        </w:tc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1.2.1</w:t>
            </w:r>
          </w:p>
        </w:tc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(5% ежегодно)</w:t>
            </w:r>
          </w:p>
        </w:tc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подпрограмме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Ремонт и содержание улично-дорожной 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58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мероприятий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подпрограммы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Ремонт и содержание улично-дорожной сети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муниципальной программы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Обеспечение жизнедеятельности муниципального образования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Детловский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указанием объема средств на их реализацию и ожидаемых результатов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94"/>
        <w:gridCol w:w="719"/>
        <w:gridCol w:w="719"/>
        <w:gridCol w:w="675"/>
        <w:gridCol w:w="625"/>
        <w:gridCol w:w="466"/>
        <w:gridCol w:w="1002"/>
        <w:gridCol w:w="906"/>
        <w:gridCol w:w="906"/>
        <w:gridCol w:w="780"/>
        <w:gridCol w:w="1166"/>
      </w:tblGrid>
      <w:tr>
        <w:trPr>
          <w:trHeight w:val="675" w:hRule="auto"/>
          <w:jc w:val="left"/>
        </w:trPr>
        <w:tc>
          <w:tcPr>
            <w:tcW w:w="15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 программы, подпрограммы</w:t>
            </w:r>
          </w:p>
        </w:tc>
        <w:tc>
          <w:tcPr>
            <w:tcW w:w="7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ГРБС </w:t>
            </w:r>
          </w:p>
        </w:tc>
        <w:tc>
          <w:tcPr>
            <w:tcW w:w="2485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бюджетной классификации</w:t>
            </w:r>
          </w:p>
        </w:tc>
        <w:tc>
          <w:tcPr>
            <w:tcW w:w="3594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руб.), годы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Ожидаемый результат </w:t>
            </w:r>
          </w:p>
        </w:tc>
      </w:tr>
      <w:tr>
        <w:trPr>
          <w:trHeight w:val="1354" w:hRule="auto"/>
          <w:jc w:val="left"/>
        </w:trPr>
        <w:tc>
          <w:tcPr>
            <w:tcW w:w="15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ГРБС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РзПр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ЦСР</w:t>
            </w:r>
          </w:p>
        </w:tc>
        <w:tc>
          <w:tcPr>
            <w:tcW w:w="4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очередной финансовый год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первый год планового периода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второй год планового периода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на период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реализации подпрограммного мероприятия (в натуральном выражении)</w:t>
            </w:r>
          </w:p>
        </w:tc>
      </w:tr>
      <w:tr>
        <w:trPr>
          <w:trHeight w:val="360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жизнедеятельности  МО Детловский сельсовет на 2014-216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Детловского сельсовета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0409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0128102</w:t>
            </w:r>
          </w:p>
        </w:tc>
        <w:tc>
          <w:tcPr>
            <w:tcW w:w="4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63,8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78,0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77,2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219,0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Подпрограмма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и содержание улично-дорожной сети на 2014-2016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Детловского сельсовета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0409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0128102</w:t>
            </w:r>
          </w:p>
        </w:tc>
        <w:tc>
          <w:tcPr>
            <w:tcW w:w="4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63,8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78,0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77,2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219,0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 1: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Очистка дорог МО от снега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Детловского сельсовета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0409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0128102</w:t>
            </w:r>
          </w:p>
        </w:tc>
        <w:tc>
          <w:tcPr>
            <w:tcW w:w="4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60,0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170,0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Мероприятие2: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Отсыпка дорог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Детловского сельсовета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0409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0128102</w:t>
            </w:r>
          </w:p>
        </w:tc>
        <w:tc>
          <w:tcPr>
            <w:tcW w:w="4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10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13,8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18,0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17,2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49,0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ГРБС 1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ГРБС n</w:t>
            </w: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сельсовета</w:t>
        <w:tab/>
        <w:tab/>
        <w:tab/>
        <w:tab/>
        <w:tab/>
        <w:tab/>
        <w:tab/>
        <w:tab/>
        <w:tab/>
        <w:t xml:space="preserve">Н.А.Никулин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